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0"/>
      </w:tblGrid>
      <w:tr w:rsidR="005866D4" w:rsidTr="00436995">
        <w:tc>
          <w:tcPr>
            <w:tcW w:w="10710" w:type="dxa"/>
            <w:gridSpan w:val="3"/>
          </w:tcPr>
          <w:p w:rsidR="005866D4" w:rsidRDefault="005866D4">
            <w:pPr>
              <w:pStyle w:val="Header"/>
              <w:tabs>
                <w:tab w:val="left" w:pos="720"/>
              </w:tabs>
              <w:rPr>
                <w:rFonts w:ascii="Arial" w:hAnsi="Arial"/>
                <w:sz w:val="8"/>
              </w:rPr>
            </w:pPr>
          </w:p>
          <w:p w:rsidR="005866D4" w:rsidRPr="005866D4" w:rsidRDefault="00CB5E23">
            <w:pPr>
              <w:pStyle w:val="Header"/>
              <w:tabs>
                <w:tab w:val="left" w:pos="720"/>
              </w:tabs>
              <w:spacing w:before="60"/>
              <w:jc w:val="center"/>
              <w:rPr>
                <w:rFonts w:ascii="Arial" w:hAnsi="Arial" w:cs="Arial"/>
                <w:sz w:val="14"/>
              </w:rPr>
            </w:pPr>
            <w:smartTag w:uri="urn:schemas-microsoft-com:office:smarttags" w:element="place">
              <w:smartTag w:uri="urn:schemas-microsoft-com:office:smarttags" w:element="PlaceType">
                <w:r w:rsidRPr="00CB5E23">
                  <w:rPr>
                    <w:rFonts w:ascii="Arial" w:hAnsi="Arial" w:cs="Arial"/>
                    <w:sz w:val="28"/>
                  </w:rPr>
                  <w:t>Commonwealth</w:t>
                </w:r>
              </w:smartTag>
              <w:r w:rsidRPr="00CB5E23">
                <w:rPr>
                  <w:rFonts w:ascii="Arial" w:hAnsi="Arial" w:cs="Arial"/>
                  <w:sz w:val="28"/>
                </w:rPr>
                <w:t xml:space="preserve"> of </w:t>
              </w:r>
              <w:smartTag w:uri="urn:schemas-microsoft-com:office:smarttags" w:element="PlaceName">
                <w:r w:rsidRPr="00CB5E23">
                  <w:rPr>
                    <w:rFonts w:ascii="Arial" w:hAnsi="Arial" w:cs="Arial"/>
                    <w:sz w:val="28"/>
                  </w:rPr>
                  <w:t>Virginia</w:t>
                </w:r>
              </w:smartTag>
            </w:smartTag>
          </w:p>
        </w:tc>
      </w:tr>
      <w:tr w:rsidR="005866D4" w:rsidTr="00436995">
        <w:tc>
          <w:tcPr>
            <w:tcW w:w="3570" w:type="dxa"/>
          </w:tcPr>
          <w:p w:rsidR="005866D4" w:rsidRDefault="005866D4" w:rsidP="00B818FE">
            <w:pPr>
              <w:jc w:val="right"/>
            </w:pPr>
          </w:p>
          <w:p w:rsidR="00F53782" w:rsidRDefault="00B6484B" w:rsidP="00F53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Thomas A. Lisk</w:t>
            </w:r>
            <w:r w:rsidR="00F53782" w:rsidRPr="00F53782">
              <w:rPr>
                <w:rFonts w:ascii="Arial" w:hAnsi="Arial" w:cs="Arial"/>
                <w:sz w:val="18"/>
                <w:szCs w:val="18"/>
              </w:rPr>
              <w:t>, Chair</w:t>
            </w:r>
          </w:p>
          <w:p w:rsidR="00F53782" w:rsidRDefault="00F53782" w:rsidP="00F53782">
            <w:pPr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:rsidR="00F53782" w:rsidRPr="00F53782" w:rsidRDefault="00F53782" w:rsidP="00F53782">
            <w:pPr>
              <w:rPr>
                <w:rFonts w:ascii="Arial" w:hAnsi="Arial" w:cs="Arial"/>
                <w:sz w:val="18"/>
                <w:szCs w:val="18"/>
              </w:rPr>
            </w:pPr>
          </w:p>
          <w:p w:rsidR="00F53782" w:rsidRPr="00F53782" w:rsidRDefault="002B06C9" w:rsidP="002B0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Andrew Kubincanek</w:t>
            </w:r>
            <w:r w:rsidR="00F53782" w:rsidRPr="00F5378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Program Coordinator</w:t>
            </w:r>
          </w:p>
        </w:tc>
        <w:tc>
          <w:tcPr>
            <w:tcW w:w="3570" w:type="dxa"/>
          </w:tcPr>
          <w:p w:rsidR="005866D4" w:rsidRDefault="005866D4">
            <w:pPr>
              <w:pStyle w:val="Header"/>
              <w:tabs>
                <w:tab w:val="left" w:pos="720"/>
              </w:tabs>
              <w:jc w:val="center"/>
              <w:rPr>
                <w:rFonts w:ascii="Arial" w:hAnsi="Arial"/>
                <w:sz w:val="14"/>
              </w:rPr>
            </w:pPr>
            <w:r w:rsidRPr="005866D4">
              <w:rPr>
                <w:rFonts w:ascii="Arial" w:hAnsi="Arial"/>
                <w:sz w:val="14"/>
              </w:rPr>
              <w:object w:dxaOrig="13543" w:dyaOrig="125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pt;height:65.35pt" o:ole="" fillcolor="window">
                  <v:imagedata r:id="rId8" o:title="" croptop="1882f" cropbottom="3161f" cropleft="3484f" cropright="6620f"/>
                </v:shape>
                <o:OLEObject Type="Embed" ProgID="MSDraw" ShapeID="_x0000_i1025" DrawAspect="Content" ObjectID="_1848464156" r:id="rId9">
                  <o:FieldCodes>\* mergeformat</o:FieldCodes>
                </o:OLEObject>
              </w:object>
            </w:r>
          </w:p>
        </w:tc>
        <w:tc>
          <w:tcPr>
            <w:tcW w:w="3570" w:type="dxa"/>
          </w:tcPr>
          <w:p w:rsidR="005866D4" w:rsidRDefault="005866D4">
            <w:pPr>
              <w:pStyle w:val="Header"/>
              <w:tabs>
                <w:tab w:val="left" w:pos="720"/>
              </w:tabs>
              <w:jc w:val="right"/>
              <w:rPr>
                <w:rFonts w:ascii="Arial" w:hAnsi="Arial"/>
                <w:sz w:val="14"/>
              </w:rPr>
            </w:pPr>
          </w:p>
          <w:p w:rsidR="005866D4" w:rsidRDefault="008C4257">
            <w:pPr>
              <w:pStyle w:val="Header"/>
              <w:tabs>
                <w:tab w:val="left" w:pos="720"/>
              </w:tabs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General Assembly Building</w:t>
            </w:r>
          </w:p>
          <w:p w:rsidR="008C4257" w:rsidRDefault="008C4257">
            <w:pPr>
              <w:pStyle w:val="Header"/>
              <w:tabs>
                <w:tab w:val="left" w:pos="720"/>
              </w:tabs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 N. 9th Street, Fourth Floor</w:t>
            </w:r>
          </w:p>
          <w:p w:rsidR="005866D4" w:rsidRDefault="00B818FE">
            <w:pPr>
              <w:pStyle w:val="Header"/>
              <w:tabs>
                <w:tab w:val="left" w:pos="720"/>
              </w:tabs>
              <w:jc w:val="right"/>
              <w:rPr>
                <w:rFonts w:ascii="Arial" w:hAnsi="Arial"/>
                <w:sz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sz w:val="14"/>
                  </w:rPr>
                  <w:t>Richmond</w:t>
                </w:r>
              </w:smartTag>
              <w:r>
                <w:rPr>
                  <w:rFonts w:ascii="Arial" w:hAnsi="Arial"/>
                  <w:sz w:val="14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z w:val="14"/>
                  </w:rPr>
                  <w:t>Virginia</w:t>
                </w:r>
              </w:smartTag>
              <w:r>
                <w:rPr>
                  <w:rFonts w:ascii="Arial" w:hAnsi="Arial"/>
                  <w:sz w:val="14"/>
                </w:rPr>
                <w:t xml:space="preserve"> </w:t>
              </w:r>
              <w:smartTag w:uri="urn:schemas-microsoft-com:office:smarttags" w:element="PostalCode">
                <w:r>
                  <w:rPr>
                    <w:rFonts w:ascii="Arial" w:hAnsi="Arial"/>
                    <w:sz w:val="14"/>
                  </w:rPr>
                  <w:t>23219</w:t>
                </w:r>
              </w:smartTag>
            </w:smartTag>
          </w:p>
          <w:p w:rsidR="005866D4" w:rsidRDefault="00B818FE">
            <w:pPr>
              <w:pStyle w:val="Header"/>
              <w:tabs>
                <w:tab w:val="left" w:pos="720"/>
              </w:tabs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(Phone)</w:t>
            </w:r>
            <w:r w:rsidR="008C4257">
              <w:rPr>
                <w:rFonts w:ascii="Arial" w:hAnsi="Arial"/>
                <w:sz w:val="14"/>
              </w:rPr>
              <w:t xml:space="preserve"> 804-698-1810</w:t>
            </w:r>
          </w:p>
          <w:p w:rsidR="005866D4" w:rsidRDefault="002B06C9">
            <w:pPr>
              <w:pStyle w:val="Header"/>
              <w:tabs>
                <w:tab w:val="left" w:pos="720"/>
              </w:tabs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akubincanek@dls.virginia.gov</w:t>
            </w:r>
          </w:p>
          <w:p w:rsidR="005866D4" w:rsidRPr="005866D4" w:rsidRDefault="002B06C9">
            <w:pPr>
              <w:pStyle w:val="Header"/>
              <w:tabs>
                <w:tab w:val="left" w:pos="720"/>
              </w:tabs>
              <w:jc w:val="right"/>
              <w:rPr>
                <w:rFonts w:ascii="Arial" w:hAnsi="Arial"/>
                <w:sz w:val="14"/>
              </w:rPr>
            </w:pPr>
            <w:r w:rsidRPr="002B06C9">
              <w:rPr>
                <w:rFonts w:ascii="Arial" w:hAnsi="Arial"/>
                <w:sz w:val="14"/>
              </w:rPr>
              <w:t>http://codecommission.dls.virginia.gov/alac/alac.shtml</w:t>
            </w:r>
          </w:p>
        </w:tc>
      </w:tr>
      <w:tr w:rsidR="005866D4" w:rsidTr="00436995">
        <w:tc>
          <w:tcPr>
            <w:tcW w:w="10710" w:type="dxa"/>
            <w:gridSpan w:val="3"/>
          </w:tcPr>
          <w:p w:rsidR="005866D4" w:rsidRDefault="005866D4">
            <w:pPr>
              <w:pStyle w:val="Header"/>
              <w:tabs>
                <w:tab w:val="left" w:pos="720"/>
              </w:tabs>
              <w:rPr>
                <w:rFonts w:ascii="Arial" w:hAnsi="Arial"/>
                <w:sz w:val="8"/>
              </w:rPr>
            </w:pPr>
          </w:p>
          <w:p w:rsidR="005866D4" w:rsidRDefault="005866D4">
            <w:pPr>
              <w:pStyle w:val="Header"/>
              <w:tabs>
                <w:tab w:val="left" w:pos="720"/>
              </w:tabs>
              <w:spacing w:before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8"/>
              </w:rPr>
              <w:t>Administrative Law Advisory Committee</w:t>
            </w:r>
          </w:p>
        </w:tc>
      </w:tr>
    </w:tbl>
    <w:p w:rsidR="00812969" w:rsidRDefault="00812969"/>
    <w:p w:rsidR="006F58BA" w:rsidRDefault="006F58BA" w:rsidP="006F58BA">
      <w:pPr>
        <w:pStyle w:val="SignatureJobTitle"/>
        <w:ind w:left="0"/>
        <w:jc w:val="center"/>
        <w:rPr>
          <w:b/>
          <w:sz w:val="32"/>
          <w:szCs w:val="32"/>
        </w:rPr>
      </w:pPr>
    </w:p>
    <w:p w:rsidR="00644AB5" w:rsidRPr="00644AB5" w:rsidRDefault="007702EC" w:rsidP="00644AB5">
      <w:pPr>
        <w:pStyle w:val="SignatureJobTitle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2026</w:t>
      </w:r>
      <w:r w:rsidR="001F7F08">
        <w:rPr>
          <w:b/>
          <w:sz w:val="32"/>
          <w:szCs w:val="32"/>
        </w:rPr>
        <w:t xml:space="preserve"> Work Plan</w:t>
      </w:r>
    </w:p>
    <w:p w:rsidR="00EF487C" w:rsidRDefault="00EF487C" w:rsidP="00EF487C">
      <w:pPr>
        <w:pStyle w:val="SignatureJobTitle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Administrative Law Advisory Committee </w:t>
      </w:r>
    </w:p>
    <w:p w:rsidR="00EF487C" w:rsidRDefault="00EF487C" w:rsidP="00EF487C">
      <w:pPr>
        <w:pStyle w:val="SignatureJobTitle"/>
        <w:ind w:left="0"/>
        <w:jc w:val="center"/>
        <w:rPr>
          <w:b/>
          <w:sz w:val="28"/>
          <w:szCs w:val="28"/>
        </w:rPr>
      </w:pPr>
    </w:p>
    <w:p w:rsidR="00EF487C" w:rsidRDefault="00EF487C" w:rsidP="00EF487C">
      <w:pPr>
        <w:pStyle w:val="SignatureJobTitle"/>
        <w:ind w:left="0"/>
        <w:jc w:val="center"/>
        <w:rPr>
          <w:b/>
        </w:rPr>
      </w:pPr>
    </w:p>
    <w:p w:rsidR="00EF487C" w:rsidRDefault="00405E16" w:rsidP="00405E16">
      <w:pPr>
        <w:pStyle w:val="SignatureJobTitle"/>
        <w:ind w:left="0"/>
        <w:rPr>
          <w:b/>
          <w:u w:val="single"/>
        </w:rPr>
      </w:pPr>
      <w:r w:rsidRPr="00405E16">
        <w:rPr>
          <w:b/>
          <w:u w:val="single"/>
        </w:rPr>
        <w:t xml:space="preserve">Virginia Administrative Process Act </w:t>
      </w:r>
      <w:r w:rsidR="007B49C2">
        <w:rPr>
          <w:b/>
          <w:u w:val="single"/>
        </w:rPr>
        <w:t xml:space="preserve">Article 1 and </w:t>
      </w:r>
      <w:r>
        <w:rPr>
          <w:b/>
          <w:u w:val="single"/>
        </w:rPr>
        <w:t>Article 2</w:t>
      </w:r>
      <w:r w:rsidRPr="00405E16">
        <w:rPr>
          <w:b/>
          <w:u w:val="single"/>
        </w:rPr>
        <w:t xml:space="preserve"> Study </w:t>
      </w:r>
    </w:p>
    <w:p w:rsidR="00405E16" w:rsidRDefault="00405E16" w:rsidP="00405E16">
      <w:pPr>
        <w:pStyle w:val="SignatureJobTitle"/>
        <w:ind w:left="0"/>
        <w:rPr>
          <w:b/>
          <w:u w:val="single"/>
        </w:rPr>
      </w:pPr>
    </w:p>
    <w:p w:rsidR="00405E16" w:rsidRDefault="00405E16" w:rsidP="00405E16">
      <w:pPr>
        <w:pStyle w:val="SignatureJobTitle"/>
        <w:ind w:left="0"/>
      </w:pPr>
      <w:r w:rsidRPr="00405E16">
        <w:t xml:space="preserve">ALAC will form a work group to </w:t>
      </w:r>
      <w:r>
        <w:t xml:space="preserve">study and update </w:t>
      </w:r>
      <w:r w:rsidR="007B49C2">
        <w:t xml:space="preserve">Article 1 and </w:t>
      </w:r>
      <w:r>
        <w:t xml:space="preserve">Article 2 </w:t>
      </w:r>
      <w:r w:rsidR="007D01AF">
        <w:t>of</w:t>
      </w:r>
      <w:r>
        <w:t xml:space="preserve"> the Virginia Administrative Process Act. ALAC has identified a grammatical issue in </w:t>
      </w:r>
      <w:r w:rsidRPr="00DB5132">
        <w:t>§ 2.2-4012 B</w:t>
      </w:r>
      <w:r>
        <w:t xml:space="preserve">, </w:t>
      </w:r>
      <w:r w:rsidR="007D01AF">
        <w:t xml:space="preserve">along with several other items which may require clarification, including </w:t>
      </w:r>
      <w:r>
        <w:t xml:space="preserve">the </w:t>
      </w:r>
      <w:r w:rsidR="007D01AF">
        <w:t>d</w:t>
      </w:r>
      <w:r w:rsidRPr="00405E16">
        <w:t>efinition of “adverse effects” in § 2.2-4007</w:t>
      </w:r>
      <w:r>
        <w:t xml:space="preserve">, </w:t>
      </w:r>
      <w:r w:rsidR="007D01AF">
        <w:t>and comment periods after the deletion of a guidance document and after the publication of a final adopted regulation. A</w:t>
      </w:r>
      <w:r w:rsidR="0019601A">
        <w:t xml:space="preserve">LAC will work with </w:t>
      </w:r>
      <w:r w:rsidR="00A97667">
        <w:t xml:space="preserve">the </w:t>
      </w:r>
      <w:r w:rsidR="0019601A">
        <w:t>Department of Planning and Budget</w:t>
      </w:r>
      <w:r w:rsidR="007D01AF">
        <w:t xml:space="preserve"> and other stakeholders to review these issues and will continue to study</w:t>
      </w:r>
      <w:r w:rsidR="007B49C2">
        <w:t xml:space="preserve"> Article 1 and</w:t>
      </w:r>
      <w:r w:rsidR="007D01AF">
        <w:t xml:space="preserve"> Article 2 for additional issues. </w:t>
      </w:r>
    </w:p>
    <w:p w:rsidR="00644AB5" w:rsidRDefault="00644AB5" w:rsidP="00644AB5">
      <w:pPr>
        <w:pStyle w:val="SignatureJobTitle"/>
        <w:ind w:left="0"/>
      </w:pPr>
    </w:p>
    <w:p w:rsidR="0019601A" w:rsidRDefault="0019601A" w:rsidP="00644AB5">
      <w:pPr>
        <w:pStyle w:val="SignatureJobTitle"/>
        <w:ind w:left="0"/>
      </w:pPr>
      <w:r w:rsidRPr="0019601A">
        <w:rPr>
          <w:b/>
          <w:u w:val="single"/>
        </w:rPr>
        <w:t>Preservation of Error Doctrine</w:t>
      </w:r>
    </w:p>
    <w:p w:rsidR="0019601A" w:rsidRDefault="0019601A" w:rsidP="00644AB5">
      <w:pPr>
        <w:pStyle w:val="SignatureJobTitle"/>
        <w:ind w:left="0"/>
      </w:pPr>
    </w:p>
    <w:p w:rsidR="0019601A" w:rsidRPr="0019601A" w:rsidRDefault="0019601A" w:rsidP="00644AB5">
      <w:pPr>
        <w:pStyle w:val="SignatureJobTitle"/>
        <w:ind w:left="0"/>
      </w:pPr>
      <w:r>
        <w:t xml:space="preserve">ALAC previously formed a work group to study how the preservation of error doctrine and </w:t>
      </w:r>
      <w:r w:rsidR="00DC2932">
        <w:t>the</w:t>
      </w:r>
      <w:r>
        <w:t xml:space="preserve"> procedural default rule apply in the regulatory context. The work group initiated a survey of other state </w:t>
      </w:r>
      <w:r w:rsidR="00A97667">
        <w:t>codes</w:t>
      </w:r>
      <w:r>
        <w:t xml:space="preserve"> on the preservation of error doctrine and procedural default and will continue collecting data. </w:t>
      </w:r>
    </w:p>
    <w:p w:rsidR="0019601A" w:rsidRDefault="0019601A" w:rsidP="00644AB5">
      <w:pPr>
        <w:pStyle w:val="SignatureJobTitle"/>
        <w:ind w:left="0"/>
        <w:rPr>
          <w:b/>
          <w:u w:val="single"/>
        </w:rPr>
      </w:pPr>
    </w:p>
    <w:p w:rsidR="00644AB5" w:rsidRDefault="00644AB5" w:rsidP="00644AB5">
      <w:pPr>
        <w:pStyle w:val="SignatureJobTitle"/>
        <w:ind w:left="0"/>
        <w:rPr>
          <w:b/>
          <w:u w:val="single"/>
        </w:rPr>
      </w:pPr>
      <w:r>
        <w:rPr>
          <w:b/>
          <w:u w:val="single"/>
        </w:rPr>
        <w:t xml:space="preserve">Harmless Error Doctrine </w:t>
      </w:r>
    </w:p>
    <w:p w:rsidR="00644AB5" w:rsidRDefault="00644AB5" w:rsidP="00644AB5">
      <w:pPr>
        <w:pStyle w:val="SignatureJobTitle"/>
        <w:ind w:left="0"/>
        <w:rPr>
          <w:b/>
          <w:u w:val="single"/>
        </w:rPr>
      </w:pPr>
    </w:p>
    <w:p w:rsidR="00644AB5" w:rsidRPr="00644AB5" w:rsidRDefault="00644AB5" w:rsidP="00644AB5">
      <w:pPr>
        <w:rPr>
          <w:sz w:val="24"/>
          <w:szCs w:val="24"/>
        </w:rPr>
      </w:pPr>
      <w:r w:rsidRPr="00644AB5">
        <w:rPr>
          <w:sz w:val="24"/>
          <w:szCs w:val="24"/>
        </w:rPr>
        <w:t xml:space="preserve">ALAC previously formed a work group to discuss amending language on harmless error in § 2.2-4027 to more closely conform </w:t>
      </w:r>
      <w:proofErr w:type="gramStart"/>
      <w:r w:rsidRPr="00644AB5">
        <w:rPr>
          <w:sz w:val="24"/>
          <w:szCs w:val="24"/>
        </w:rPr>
        <w:t>with</w:t>
      </w:r>
      <w:proofErr w:type="gramEnd"/>
      <w:r w:rsidRPr="00644AB5">
        <w:rPr>
          <w:sz w:val="24"/>
          <w:szCs w:val="24"/>
        </w:rPr>
        <w:t xml:space="preserve"> federal </w:t>
      </w:r>
      <w:r w:rsidR="002F455E">
        <w:rPr>
          <w:sz w:val="24"/>
          <w:szCs w:val="24"/>
        </w:rPr>
        <w:t xml:space="preserve">law </w:t>
      </w:r>
      <w:r w:rsidRPr="00644AB5">
        <w:rPr>
          <w:sz w:val="24"/>
          <w:szCs w:val="24"/>
        </w:rPr>
        <w:t>and other state laws.</w:t>
      </w:r>
      <w:r>
        <w:rPr>
          <w:sz w:val="24"/>
          <w:szCs w:val="24"/>
        </w:rPr>
        <w:t xml:space="preserve"> </w:t>
      </w:r>
      <w:r w:rsidR="00DC2932">
        <w:rPr>
          <w:sz w:val="24"/>
          <w:szCs w:val="24"/>
        </w:rPr>
        <w:t>The</w:t>
      </w:r>
      <w:r>
        <w:rPr>
          <w:sz w:val="24"/>
          <w:szCs w:val="24"/>
        </w:rPr>
        <w:t xml:space="preserve"> work group will continue to study this issue and further r</w:t>
      </w:r>
      <w:r w:rsidR="00DC2932">
        <w:rPr>
          <w:sz w:val="24"/>
          <w:szCs w:val="24"/>
        </w:rPr>
        <w:t>efine the language.</w:t>
      </w:r>
    </w:p>
    <w:p w:rsidR="00644AB5" w:rsidRDefault="00644AB5" w:rsidP="00644AB5">
      <w:pPr>
        <w:pStyle w:val="SignatureJobTitle"/>
        <w:ind w:left="0"/>
      </w:pPr>
    </w:p>
    <w:p w:rsidR="00644AB5" w:rsidRDefault="00644AB5" w:rsidP="00644AB5">
      <w:pPr>
        <w:pStyle w:val="SignatureJobTitle"/>
        <w:ind w:left="0"/>
      </w:pPr>
    </w:p>
    <w:p w:rsidR="006F58BA" w:rsidRDefault="006F58BA" w:rsidP="006F58BA">
      <w:pPr>
        <w:pStyle w:val="SignatureJobTitle"/>
        <w:ind w:left="0"/>
        <w:jc w:val="center"/>
        <w:rPr>
          <w:b/>
          <w:sz w:val="32"/>
          <w:szCs w:val="32"/>
        </w:rPr>
      </w:pPr>
    </w:p>
    <w:p w:rsidR="006F58BA" w:rsidRDefault="006F58BA" w:rsidP="006F58BA"/>
    <w:p w:rsidR="00FF7096" w:rsidRDefault="00FF7096" w:rsidP="00FF7096">
      <w:pPr>
        <w:pStyle w:val="SignatureJobTitle"/>
        <w:ind w:left="0"/>
        <w:rPr>
          <w:b/>
        </w:rPr>
      </w:pPr>
    </w:p>
    <w:p w:rsidR="00FF7096" w:rsidRDefault="00FF7096" w:rsidP="00B01AAE">
      <w:pPr>
        <w:pStyle w:val="SignatureJobTitle"/>
        <w:ind w:left="0"/>
        <w:rPr>
          <w:b/>
        </w:rPr>
      </w:pPr>
    </w:p>
    <w:p w:rsidR="004E79E8" w:rsidRDefault="00586FD9" w:rsidP="004E79E8">
      <w:pPr>
        <w:pStyle w:val="SignatureJobTitle"/>
        <w:ind w:left="0"/>
        <w:rPr>
          <w:b/>
        </w:rPr>
      </w:pPr>
      <w:r>
        <w:rPr>
          <w:b/>
        </w:rPr>
        <w:lastRenderedPageBreak/>
        <w:t xml:space="preserve">DPB Recommendations </w:t>
      </w:r>
      <w:bookmarkStart w:id="0" w:name="_GoBack"/>
      <w:bookmarkEnd w:id="0"/>
    </w:p>
    <w:p w:rsidR="00586FD9" w:rsidRDefault="00586FD9" w:rsidP="004E79E8">
      <w:pPr>
        <w:pStyle w:val="SignatureJobTitle"/>
        <w:ind w:left="0"/>
        <w:rPr>
          <w:b/>
        </w:rPr>
      </w:pPr>
    </w:p>
    <w:p w:rsidR="00586FD9" w:rsidRPr="00803E28" w:rsidRDefault="00586FD9" w:rsidP="00586FD9">
      <w:r w:rsidRPr="00803E28">
        <w:t xml:space="preserve">Examples of </w:t>
      </w:r>
      <w:r>
        <w:t>potential clarification</w:t>
      </w:r>
      <w:r w:rsidRPr="00803E28">
        <w:t xml:space="preserve"> </w:t>
      </w:r>
      <w:r>
        <w:t>to</w:t>
      </w:r>
      <w:r w:rsidRPr="00803E28">
        <w:t xml:space="preserve"> the Administrative Process Act (APA):</w:t>
      </w:r>
    </w:p>
    <w:p w:rsidR="00586FD9" w:rsidRPr="00803E28" w:rsidRDefault="00586FD9" w:rsidP="00586FD9">
      <w:pPr>
        <w:pStyle w:val="ListParagraph"/>
        <w:numPr>
          <w:ilvl w:val="0"/>
          <w:numId w:val="8"/>
        </w:numPr>
      </w:pPr>
      <w:r w:rsidRPr="00803E28">
        <w:t>Definitions</w:t>
      </w:r>
    </w:p>
    <w:p w:rsidR="00586FD9" w:rsidRPr="000442AD" w:rsidRDefault="00586FD9" w:rsidP="00586FD9">
      <w:pPr>
        <w:pStyle w:val="ListParagraph"/>
        <w:numPr>
          <w:ilvl w:val="1"/>
          <w:numId w:val="8"/>
        </w:numPr>
        <w:rPr>
          <w:sz w:val="22"/>
          <w:szCs w:val="22"/>
        </w:rPr>
      </w:pPr>
      <w:r w:rsidRPr="002B357B">
        <w:rPr>
          <w:sz w:val="22"/>
          <w:szCs w:val="22"/>
        </w:rPr>
        <w:t>In § 2.2-4007.04 A1</w:t>
      </w:r>
      <w:r>
        <w:rPr>
          <w:sz w:val="22"/>
          <w:szCs w:val="22"/>
        </w:rPr>
        <w:t>, b</w:t>
      </w:r>
      <w:r w:rsidRPr="000442AD">
        <w:rPr>
          <w:sz w:val="22"/>
          <w:szCs w:val="22"/>
        </w:rPr>
        <w:t xml:space="preserve">ecause the definition of "Small Business" differs from other Code definitions (at §§ </w:t>
      </w:r>
      <w:hyperlink r:id="rId10" w:history="1">
        <w:r w:rsidRPr="000442AD">
          <w:rPr>
            <w:rStyle w:val="Hyperlink"/>
            <w:sz w:val="22"/>
            <w:szCs w:val="22"/>
          </w:rPr>
          <w:t>2.2-1604</w:t>
        </w:r>
      </w:hyperlink>
      <w:r w:rsidRPr="000442AD">
        <w:rPr>
          <w:sz w:val="22"/>
          <w:szCs w:val="22"/>
        </w:rPr>
        <w:t xml:space="preserve"> and </w:t>
      </w:r>
      <w:hyperlink r:id="rId11" w:history="1">
        <w:r w:rsidRPr="000442AD">
          <w:rPr>
            <w:rStyle w:val="Hyperlink"/>
            <w:sz w:val="22"/>
            <w:szCs w:val="22"/>
          </w:rPr>
          <w:t>2.2-4310</w:t>
        </w:r>
      </w:hyperlink>
      <w:r w:rsidRPr="000442AD">
        <w:rPr>
          <w:sz w:val="22"/>
          <w:szCs w:val="22"/>
        </w:rPr>
        <w:t>), data from the Departments of Small Business and Supplier Diversity, and General Services, are not usable.</w:t>
      </w:r>
    </w:p>
    <w:p w:rsidR="00586FD9" w:rsidRDefault="00586FD9" w:rsidP="00586FD9">
      <w:pPr>
        <w:pStyle w:val="ListParagraph"/>
        <w:numPr>
          <w:ilvl w:val="1"/>
          <w:numId w:val="8"/>
        </w:numPr>
        <w:rPr>
          <w:sz w:val="22"/>
          <w:szCs w:val="22"/>
        </w:rPr>
      </w:pPr>
      <w:r w:rsidRPr="002B357B">
        <w:rPr>
          <w:sz w:val="22"/>
          <w:szCs w:val="22"/>
        </w:rPr>
        <w:t>In §§ 2.2-4007.04</w:t>
      </w:r>
      <w:r>
        <w:rPr>
          <w:sz w:val="22"/>
          <w:szCs w:val="22"/>
        </w:rPr>
        <w:t xml:space="preserve"> and </w:t>
      </w:r>
      <w:r w:rsidRPr="000442AD">
        <w:rPr>
          <w:sz w:val="22"/>
          <w:szCs w:val="22"/>
        </w:rPr>
        <w:t>2.2-4007.1</w:t>
      </w:r>
      <w:r>
        <w:rPr>
          <w:sz w:val="22"/>
          <w:szCs w:val="22"/>
        </w:rPr>
        <w:t>, are “adverse effect” and “economic impact” synonyms?</w:t>
      </w:r>
    </w:p>
    <w:p w:rsidR="00586FD9" w:rsidRPr="00891B8C" w:rsidRDefault="00586FD9" w:rsidP="00586FD9">
      <w:pPr>
        <w:pStyle w:val="ListParagraph"/>
        <w:numPr>
          <w:ilvl w:val="1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Does “regulation” correspond to a single VAC chapter, or sections thereof</w:t>
      </w:r>
      <w:r>
        <w:rPr>
          <w:rStyle w:val="FootnoteReference"/>
          <w:sz w:val="22"/>
          <w:szCs w:val="22"/>
        </w:rPr>
        <w:footnoteReference w:id="1"/>
      </w:r>
      <w:r>
        <w:rPr>
          <w:sz w:val="22"/>
          <w:szCs w:val="22"/>
        </w:rPr>
        <w:t>?</w:t>
      </w:r>
    </w:p>
    <w:p w:rsidR="00586FD9" w:rsidRPr="00803E28" w:rsidRDefault="00586FD9" w:rsidP="00586FD9">
      <w:pPr>
        <w:pStyle w:val="ListParagraph"/>
        <w:ind w:left="1440"/>
      </w:pPr>
    </w:p>
    <w:p w:rsidR="00586FD9" w:rsidRPr="00803E28" w:rsidRDefault="00586FD9" w:rsidP="00586FD9">
      <w:pPr>
        <w:pStyle w:val="ListParagraph"/>
        <w:numPr>
          <w:ilvl w:val="0"/>
          <w:numId w:val="8"/>
        </w:numPr>
      </w:pPr>
      <w:r w:rsidRPr="00803E28">
        <w:t>Exemptions</w:t>
      </w:r>
    </w:p>
    <w:p w:rsidR="00586FD9" w:rsidRPr="00803E28" w:rsidRDefault="00586FD9" w:rsidP="00586FD9">
      <w:pPr>
        <w:pStyle w:val="ListParagraph"/>
        <w:numPr>
          <w:ilvl w:val="1"/>
          <w:numId w:val="8"/>
        </w:numPr>
      </w:pPr>
      <w:r>
        <w:rPr>
          <w:sz w:val="22"/>
          <w:szCs w:val="22"/>
        </w:rPr>
        <w:t>M</w:t>
      </w:r>
      <w:r w:rsidRPr="00803E28">
        <w:rPr>
          <w:sz w:val="22"/>
          <w:szCs w:val="22"/>
        </w:rPr>
        <w:t xml:space="preserve">ay an exemption </w:t>
      </w:r>
      <w:r>
        <w:rPr>
          <w:sz w:val="22"/>
          <w:szCs w:val="22"/>
        </w:rPr>
        <w:t xml:space="preserve">be used </w:t>
      </w:r>
      <w:r w:rsidRPr="00803E28">
        <w:rPr>
          <w:sz w:val="22"/>
          <w:szCs w:val="22"/>
        </w:rPr>
        <w:t xml:space="preserve">to exempt </w:t>
      </w:r>
      <w:r>
        <w:rPr>
          <w:sz w:val="22"/>
          <w:szCs w:val="22"/>
        </w:rPr>
        <w:t>a program</w:t>
      </w:r>
      <w:r w:rsidRPr="00803E28">
        <w:rPr>
          <w:sz w:val="22"/>
          <w:szCs w:val="22"/>
        </w:rPr>
        <w:t xml:space="preserve"> from rulemaking altogether</w:t>
      </w:r>
      <w:r>
        <w:rPr>
          <w:sz w:val="22"/>
          <w:szCs w:val="22"/>
        </w:rPr>
        <w:t>, or just exempt the resulting rule from the APA</w:t>
      </w:r>
      <w:r w:rsidRPr="00803E28">
        <w:rPr>
          <w:sz w:val="22"/>
          <w:szCs w:val="22"/>
        </w:rPr>
        <w:t>?</w:t>
      </w:r>
      <w:r>
        <w:rPr>
          <w:rStyle w:val="FootnoteReference"/>
          <w:sz w:val="22"/>
          <w:szCs w:val="22"/>
        </w:rPr>
        <w:footnoteReference w:id="2"/>
      </w:r>
      <w:r w:rsidRPr="00803E28">
        <w:rPr>
          <w:sz w:val="22"/>
          <w:szCs w:val="22"/>
        </w:rPr>
        <w:t xml:space="preserve"> </w:t>
      </w:r>
    </w:p>
    <w:p w:rsidR="00586FD9" w:rsidRPr="00803E28" w:rsidRDefault="00586FD9" w:rsidP="00586FD9">
      <w:pPr>
        <w:pStyle w:val="ListParagraph"/>
        <w:numPr>
          <w:ilvl w:val="1"/>
          <w:numId w:val="8"/>
        </w:numPr>
        <w:rPr>
          <w:sz w:val="22"/>
          <w:szCs w:val="22"/>
        </w:rPr>
      </w:pPr>
      <w:r w:rsidRPr="00803E28">
        <w:rPr>
          <w:sz w:val="22"/>
          <w:szCs w:val="22"/>
        </w:rPr>
        <w:t xml:space="preserve">Do the exemptions </w:t>
      </w:r>
      <w:r>
        <w:rPr>
          <w:sz w:val="22"/>
          <w:szCs w:val="22"/>
        </w:rPr>
        <w:t xml:space="preserve">in </w:t>
      </w:r>
      <w:r w:rsidRPr="002B357B">
        <w:rPr>
          <w:sz w:val="22"/>
          <w:szCs w:val="22"/>
        </w:rPr>
        <w:t>§§ 2.2-4002</w:t>
      </w:r>
      <w:r>
        <w:rPr>
          <w:sz w:val="22"/>
          <w:szCs w:val="22"/>
        </w:rPr>
        <w:t xml:space="preserve"> and 2.2-4006 apply to currently effective regulations (e.g., thus exempting them from petitions and periodic reviews) to the process of adopting regulations (e.g., a fast-track regulation), or to both?</w:t>
      </w:r>
      <w:r w:rsidRPr="00803E28">
        <w:rPr>
          <w:sz w:val="22"/>
          <w:szCs w:val="22"/>
        </w:rPr>
        <w:t xml:space="preserve">  </w:t>
      </w:r>
    </w:p>
    <w:p w:rsidR="00586FD9" w:rsidRPr="00803E28" w:rsidRDefault="00586FD9" w:rsidP="00586FD9">
      <w:pPr>
        <w:pStyle w:val="ListParagraph"/>
      </w:pPr>
    </w:p>
    <w:p w:rsidR="00586FD9" w:rsidRPr="00803E28" w:rsidRDefault="00586FD9" w:rsidP="00586FD9">
      <w:pPr>
        <w:pStyle w:val="ListParagraph"/>
        <w:numPr>
          <w:ilvl w:val="0"/>
          <w:numId w:val="8"/>
        </w:numPr>
      </w:pPr>
      <w:r w:rsidRPr="00803E28">
        <w:t>Timeframes and Dates</w:t>
      </w:r>
    </w:p>
    <w:p w:rsidR="00586FD9" w:rsidRDefault="00586FD9" w:rsidP="00586FD9">
      <w:pPr>
        <w:pStyle w:val="ListParagraph"/>
        <w:numPr>
          <w:ilvl w:val="1"/>
          <w:numId w:val="8"/>
        </w:numPr>
        <w:rPr>
          <w:sz w:val="22"/>
          <w:szCs w:val="22"/>
        </w:rPr>
      </w:pPr>
      <w:r w:rsidRPr="00803E28">
        <w:rPr>
          <w:sz w:val="22"/>
          <w:szCs w:val="22"/>
        </w:rPr>
        <w:t xml:space="preserve">Do comment periods begin </w:t>
      </w:r>
      <w:r>
        <w:rPr>
          <w:sz w:val="22"/>
          <w:szCs w:val="22"/>
        </w:rPr>
        <w:t xml:space="preserve">“after publication” (i.e., </w:t>
      </w:r>
      <w:r w:rsidRPr="00803E28">
        <w:rPr>
          <w:sz w:val="22"/>
          <w:szCs w:val="22"/>
        </w:rPr>
        <w:t xml:space="preserve">the </w:t>
      </w:r>
      <w:r>
        <w:rPr>
          <w:sz w:val="22"/>
          <w:szCs w:val="22"/>
        </w:rPr>
        <w:t>next day)</w:t>
      </w:r>
      <w:r w:rsidRPr="00803E28">
        <w:rPr>
          <w:sz w:val="22"/>
          <w:szCs w:val="22"/>
        </w:rPr>
        <w:t xml:space="preserve"> </w:t>
      </w:r>
      <w:r>
        <w:rPr>
          <w:sz w:val="22"/>
          <w:szCs w:val="22"/>
        </w:rPr>
        <w:t>or “</w:t>
      </w:r>
      <w:r w:rsidRPr="00891B8C">
        <w:rPr>
          <w:sz w:val="22"/>
          <w:szCs w:val="22"/>
        </w:rPr>
        <w:t>on the date of publication</w:t>
      </w:r>
      <w:r>
        <w:rPr>
          <w:sz w:val="22"/>
          <w:szCs w:val="22"/>
        </w:rPr>
        <w:t>” (i.e., the same day).</w:t>
      </w:r>
      <w:r w:rsidRPr="00891B8C">
        <w:rPr>
          <w:sz w:val="22"/>
          <w:szCs w:val="22"/>
        </w:rPr>
        <w:t xml:space="preserve"> </w:t>
      </w:r>
      <w:r w:rsidRPr="00803E28">
        <w:rPr>
          <w:sz w:val="22"/>
          <w:szCs w:val="22"/>
        </w:rPr>
        <w:t>See §§ 2.2-4002.1 B, 2.2-4007 C, 2.2-4007.01 A, 2.2-4007.03 A, 2.2-4007.06, 2.2-4007.1 F, 2.2-4012.1, 2.2-4013 D, 2.2-4014 A.)</w:t>
      </w:r>
    </w:p>
    <w:p w:rsidR="00586FD9" w:rsidRPr="00803E28" w:rsidRDefault="00586FD9" w:rsidP="00586FD9">
      <w:pPr>
        <w:pStyle w:val="ListParagraph"/>
        <w:numPr>
          <w:ilvl w:val="1"/>
          <w:numId w:val="8"/>
        </w:numPr>
        <w:rPr>
          <w:sz w:val="22"/>
          <w:szCs w:val="22"/>
        </w:rPr>
      </w:pPr>
      <w:r w:rsidRPr="00803E28">
        <w:rPr>
          <w:sz w:val="22"/>
          <w:szCs w:val="22"/>
        </w:rPr>
        <w:t>In § 2.2-4011: when is the “enactment” date? (</w:t>
      </w:r>
      <w:r>
        <w:rPr>
          <w:sz w:val="22"/>
          <w:szCs w:val="22"/>
        </w:rPr>
        <w:t>T</w:t>
      </w:r>
      <w:r w:rsidRPr="00803E28">
        <w:rPr>
          <w:sz w:val="22"/>
          <w:szCs w:val="22"/>
        </w:rPr>
        <w:t xml:space="preserve">he day the Governor approves </w:t>
      </w:r>
      <w:r>
        <w:rPr>
          <w:sz w:val="22"/>
          <w:szCs w:val="22"/>
        </w:rPr>
        <w:t>a bill</w:t>
      </w:r>
      <w:r w:rsidRPr="00803E28">
        <w:rPr>
          <w:sz w:val="22"/>
          <w:szCs w:val="22"/>
        </w:rPr>
        <w:t>? And on a reconvened day, when the bodies agree to Governor’s amendments?)</w:t>
      </w:r>
    </w:p>
    <w:p w:rsidR="00586FD9" w:rsidRPr="00803E28" w:rsidRDefault="00586FD9" w:rsidP="00586FD9">
      <w:pPr>
        <w:pStyle w:val="ListParagraph"/>
        <w:rPr>
          <w:sz w:val="22"/>
          <w:szCs w:val="22"/>
        </w:rPr>
      </w:pPr>
    </w:p>
    <w:p w:rsidR="00586FD9" w:rsidRPr="00803E28" w:rsidRDefault="00586FD9" w:rsidP="00586FD9">
      <w:pPr>
        <w:pStyle w:val="ListParagraph"/>
        <w:numPr>
          <w:ilvl w:val="0"/>
          <w:numId w:val="8"/>
        </w:numPr>
      </w:pPr>
      <w:r w:rsidRPr="00803E28">
        <w:t>Applicability</w:t>
      </w:r>
    </w:p>
    <w:p w:rsidR="00586FD9" w:rsidRPr="001523B6" w:rsidRDefault="00586FD9" w:rsidP="00586FD9">
      <w:pPr>
        <w:pStyle w:val="ListParagraph"/>
        <w:numPr>
          <w:ilvl w:val="1"/>
          <w:numId w:val="8"/>
        </w:numPr>
        <w:rPr>
          <w:sz w:val="22"/>
          <w:szCs w:val="22"/>
        </w:rPr>
      </w:pPr>
      <w:r w:rsidRPr="001523B6">
        <w:rPr>
          <w:sz w:val="22"/>
          <w:szCs w:val="22"/>
        </w:rPr>
        <w:t xml:space="preserve">In § 2.2-4002.1, </w:t>
      </w:r>
      <w:r>
        <w:rPr>
          <w:sz w:val="22"/>
          <w:szCs w:val="22"/>
        </w:rPr>
        <w:t>guidance documents are issued by an “agency,” which is a defined term. Thus, m</w:t>
      </w:r>
      <w:r w:rsidRPr="001523B6">
        <w:rPr>
          <w:sz w:val="22"/>
          <w:szCs w:val="22"/>
        </w:rPr>
        <w:t>ay only agencies that are "empowered by the basic laws to make regulations or decide cases" issue a guidance document?</w:t>
      </w:r>
      <w:r>
        <w:rPr>
          <w:sz w:val="22"/>
          <w:szCs w:val="22"/>
        </w:rPr>
        <w:t xml:space="preserve"> </w:t>
      </w:r>
    </w:p>
    <w:p w:rsidR="00586FD9" w:rsidRPr="000442AD" w:rsidRDefault="00586FD9" w:rsidP="00586FD9">
      <w:pPr>
        <w:pStyle w:val="ListParagraph"/>
        <w:numPr>
          <w:ilvl w:val="1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In </w:t>
      </w:r>
      <w:r w:rsidRPr="000442AD">
        <w:rPr>
          <w:sz w:val="22"/>
          <w:szCs w:val="22"/>
        </w:rPr>
        <w:t>§ 2.2-4007.1</w:t>
      </w:r>
      <w:r>
        <w:rPr>
          <w:sz w:val="22"/>
          <w:szCs w:val="22"/>
        </w:rPr>
        <w:t>, do subsections D and E apply to “all regulations” or only to those that have an “</w:t>
      </w:r>
      <w:r w:rsidRPr="000442AD">
        <w:rPr>
          <w:sz w:val="22"/>
          <w:szCs w:val="22"/>
        </w:rPr>
        <w:t>impact on small businesses</w:t>
      </w:r>
      <w:r>
        <w:rPr>
          <w:sz w:val="22"/>
          <w:szCs w:val="22"/>
        </w:rPr>
        <w:t>”?</w:t>
      </w:r>
    </w:p>
    <w:p w:rsidR="00586FD9" w:rsidRDefault="00586FD9" w:rsidP="00586FD9">
      <w:pPr>
        <w:pStyle w:val="ListParagraph"/>
        <w:numPr>
          <w:ilvl w:val="1"/>
          <w:numId w:val="8"/>
        </w:numPr>
        <w:rPr>
          <w:sz w:val="22"/>
          <w:szCs w:val="22"/>
        </w:rPr>
      </w:pPr>
      <w:r w:rsidRPr="00803E28">
        <w:rPr>
          <w:sz w:val="22"/>
          <w:szCs w:val="22"/>
        </w:rPr>
        <w:t>In § 2.2-4011</w:t>
      </w:r>
      <w:r>
        <w:rPr>
          <w:sz w:val="22"/>
          <w:szCs w:val="22"/>
        </w:rPr>
        <w:t xml:space="preserve"> A, </w:t>
      </w:r>
      <w:r w:rsidRPr="00803E28">
        <w:rPr>
          <w:sz w:val="22"/>
          <w:szCs w:val="22"/>
        </w:rPr>
        <w:t xml:space="preserve">does “approval” apply to the “consultation” with OAG or the “discretion” of the Governor? In other words, </w:t>
      </w:r>
      <w:r>
        <w:rPr>
          <w:sz w:val="22"/>
          <w:szCs w:val="22"/>
        </w:rPr>
        <w:t>may</w:t>
      </w:r>
      <w:r w:rsidRPr="00803E28">
        <w:rPr>
          <w:sz w:val="22"/>
          <w:szCs w:val="22"/>
        </w:rPr>
        <w:t xml:space="preserve"> OAG </w:t>
      </w:r>
      <w:r>
        <w:rPr>
          <w:sz w:val="22"/>
          <w:szCs w:val="22"/>
        </w:rPr>
        <w:t xml:space="preserve">unilaterally </w:t>
      </w:r>
      <w:r w:rsidRPr="00803E28">
        <w:rPr>
          <w:sz w:val="22"/>
          <w:szCs w:val="22"/>
        </w:rPr>
        <w:t>“disapprove” the use of an emergency?</w:t>
      </w:r>
    </w:p>
    <w:p w:rsidR="00586FD9" w:rsidRDefault="00586FD9" w:rsidP="00586FD9">
      <w:pPr>
        <w:pStyle w:val="ListParagraph"/>
        <w:rPr>
          <w:sz w:val="22"/>
          <w:szCs w:val="22"/>
        </w:rPr>
      </w:pPr>
    </w:p>
    <w:p w:rsidR="00586FD9" w:rsidRPr="00803E28" w:rsidRDefault="00586FD9" w:rsidP="00586FD9">
      <w:pPr>
        <w:pStyle w:val="ListParagraph"/>
        <w:numPr>
          <w:ilvl w:val="0"/>
          <w:numId w:val="8"/>
        </w:numPr>
      </w:pPr>
      <w:r w:rsidRPr="00803E28">
        <w:t>Organization</w:t>
      </w:r>
    </w:p>
    <w:p w:rsidR="00586FD9" w:rsidRDefault="00586FD9" w:rsidP="00586FD9">
      <w:pPr>
        <w:pStyle w:val="ListParagraph"/>
        <w:numPr>
          <w:ilvl w:val="1"/>
          <w:numId w:val="8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If</w:t>
      </w:r>
      <w:r w:rsidRPr="00803E28">
        <w:rPr>
          <w:sz w:val="22"/>
          <w:szCs w:val="22"/>
        </w:rPr>
        <w:t xml:space="preserve"> §§ 2.2-4007.01 through 2.2-4007.06 represent the promulgation process, might they be in a stand-alone “Part”</w:t>
      </w:r>
      <w:r>
        <w:rPr>
          <w:sz w:val="22"/>
          <w:szCs w:val="22"/>
        </w:rPr>
        <w:t xml:space="preserve"> that clearly delineates the adoption process</w:t>
      </w:r>
      <w:r w:rsidRPr="00803E28">
        <w:rPr>
          <w:sz w:val="22"/>
          <w:szCs w:val="22"/>
        </w:rPr>
        <w:t>?</w:t>
      </w:r>
    </w:p>
    <w:p w:rsidR="00586FD9" w:rsidRPr="00803E28" w:rsidRDefault="00586FD9" w:rsidP="00586FD9">
      <w:pPr>
        <w:pStyle w:val="ListParagraph"/>
        <w:numPr>
          <w:ilvl w:val="1"/>
          <w:numId w:val="8"/>
        </w:numPr>
        <w:tabs>
          <w:tab w:val="left" w:pos="2920"/>
        </w:tabs>
      </w:pPr>
      <w:r w:rsidRPr="00D77397">
        <w:rPr>
          <w:sz w:val="22"/>
          <w:szCs w:val="22"/>
        </w:rPr>
        <w:t>Could similar sections be combined, such as combining § 2.2-4017 and § 2.2-4013 to form a single EO section?</w:t>
      </w:r>
      <w:r w:rsidRPr="00803E28">
        <w:tab/>
      </w:r>
    </w:p>
    <w:p w:rsidR="00871FAA" w:rsidRDefault="00871FAA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APA Article 1 and 2 Contents</w:t>
      </w:r>
    </w:p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586FD9" w:rsidRDefault="00586FD9" w:rsidP="00586FD9">
      <w:pPr>
        <w:numPr>
          <w:ilvl w:val="0"/>
          <w:numId w:val="10"/>
        </w:numPr>
        <w:ind w:left="0"/>
        <w:textAlignment w:val="baseline"/>
        <w:rPr>
          <w:b/>
          <w:bCs/>
          <w:color w:val="444444"/>
          <w:sz w:val="27"/>
          <w:szCs w:val="27"/>
          <w:bdr w:val="none" w:sz="0" w:space="0" w:color="auto" w:frame="1"/>
        </w:rPr>
      </w:pPr>
      <w:r>
        <w:rPr>
          <w:b/>
          <w:bCs/>
          <w:color w:val="444444"/>
          <w:sz w:val="27"/>
          <w:szCs w:val="27"/>
          <w:bdr w:val="none" w:sz="0" w:space="0" w:color="auto" w:frame="1"/>
        </w:rPr>
        <w:t>Article 1. </w:t>
      </w:r>
    </w:p>
    <w:p w:rsidR="00586FD9" w:rsidRDefault="00586FD9" w:rsidP="00586FD9">
      <w:pPr>
        <w:textAlignment w:val="baseline"/>
        <w:rPr>
          <w:b/>
          <w:bCs/>
          <w:color w:val="444444"/>
          <w:sz w:val="27"/>
          <w:szCs w:val="27"/>
          <w:bdr w:val="none" w:sz="0" w:space="0" w:color="auto" w:frame="1"/>
        </w:rPr>
      </w:pPr>
      <w:r>
        <w:rPr>
          <w:b/>
          <w:bCs/>
          <w:color w:val="444444"/>
          <w:sz w:val="27"/>
          <w:szCs w:val="27"/>
          <w:bdr w:val="none" w:sz="0" w:space="0" w:color="auto" w:frame="1"/>
        </w:rPr>
        <w:t>General Provisions</w:t>
      </w:r>
    </w:p>
    <w:p w:rsidR="00586FD9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12" w:history="1">
        <w:r>
          <w:rPr>
            <w:rStyle w:val="Hyperlink"/>
            <w:rFonts w:ascii="inherit" w:hAnsi="inherit"/>
            <w:color w:val="2875B8"/>
            <w:sz w:val="27"/>
            <w:szCs w:val="27"/>
            <w:bdr w:val="none" w:sz="0" w:space="0" w:color="auto" w:frame="1"/>
          </w:rPr>
          <w:t>§ 2.2-4000</w:t>
        </w:r>
      </w:hyperlink>
      <w:r>
        <w:rPr>
          <w:rFonts w:ascii="inherit" w:hAnsi="inherit"/>
          <w:color w:val="444444"/>
          <w:sz w:val="27"/>
          <w:szCs w:val="27"/>
        </w:rPr>
        <w:t xml:space="preserve"> Short title; purpose</w:t>
      </w:r>
    </w:p>
    <w:p w:rsidR="00586FD9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13" w:history="1">
        <w:r>
          <w:rPr>
            <w:rStyle w:val="Hyperlink"/>
            <w:rFonts w:ascii="inherit" w:hAnsi="inherit"/>
            <w:color w:val="2875B8"/>
            <w:sz w:val="27"/>
            <w:szCs w:val="27"/>
            <w:bdr w:val="none" w:sz="0" w:space="0" w:color="auto" w:frame="1"/>
          </w:rPr>
          <w:t>§ 2.2-4001</w:t>
        </w:r>
      </w:hyperlink>
      <w:r>
        <w:rPr>
          <w:rFonts w:ascii="inherit" w:hAnsi="inherit"/>
          <w:color w:val="444444"/>
          <w:sz w:val="27"/>
          <w:szCs w:val="27"/>
        </w:rPr>
        <w:t xml:space="preserve"> Definitions</w:t>
      </w:r>
    </w:p>
    <w:p w:rsidR="00586FD9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14" w:history="1">
        <w:r>
          <w:rPr>
            <w:rStyle w:val="Hyperlink"/>
            <w:rFonts w:ascii="inherit" w:hAnsi="inherit"/>
            <w:color w:val="2875B8"/>
            <w:sz w:val="27"/>
            <w:szCs w:val="27"/>
            <w:bdr w:val="none" w:sz="0" w:space="0" w:color="auto" w:frame="1"/>
          </w:rPr>
          <w:t>§ 2.2-4002</w:t>
        </w:r>
      </w:hyperlink>
      <w:r>
        <w:rPr>
          <w:rFonts w:ascii="inherit" w:hAnsi="inherit"/>
          <w:color w:val="444444"/>
          <w:sz w:val="27"/>
          <w:szCs w:val="27"/>
        </w:rPr>
        <w:t xml:space="preserve"> (Effective until September 1, 2026) Exemptions from chapter generally</w:t>
      </w:r>
    </w:p>
    <w:p w:rsidR="00586FD9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15" w:history="1">
        <w:r>
          <w:rPr>
            <w:rStyle w:val="Hyperlink"/>
            <w:rFonts w:ascii="inherit" w:hAnsi="inherit"/>
            <w:color w:val="2875B8"/>
            <w:sz w:val="27"/>
            <w:szCs w:val="27"/>
            <w:bdr w:val="none" w:sz="0" w:space="0" w:color="auto" w:frame="1"/>
          </w:rPr>
          <w:t>§ 2.2-4002</w:t>
        </w:r>
      </w:hyperlink>
      <w:r>
        <w:rPr>
          <w:rFonts w:ascii="inherit" w:hAnsi="inherit"/>
          <w:color w:val="444444"/>
          <w:sz w:val="27"/>
          <w:szCs w:val="27"/>
        </w:rPr>
        <w:t xml:space="preserve"> (Effective September 1, 2026) Exemptions from chapter generally</w:t>
      </w:r>
    </w:p>
    <w:p w:rsidR="00586FD9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16" w:history="1">
        <w:r>
          <w:rPr>
            <w:rStyle w:val="Hyperlink"/>
            <w:rFonts w:ascii="inherit" w:hAnsi="inherit"/>
            <w:color w:val="2875B8"/>
            <w:sz w:val="27"/>
            <w:szCs w:val="27"/>
            <w:bdr w:val="none" w:sz="0" w:space="0" w:color="auto" w:frame="1"/>
          </w:rPr>
          <w:t>§ 2.2-4002.1</w:t>
        </w:r>
      </w:hyperlink>
      <w:r>
        <w:rPr>
          <w:rFonts w:ascii="inherit" w:hAnsi="inherit"/>
          <w:color w:val="444444"/>
          <w:sz w:val="27"/>
          <w:szCs w:val="27"/>
        </w:rPr>
        <w:t>Guidance documents</w:t>
      </w:r>
    </w:p>
    <w:p w:rsidR="00586FD9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17" w:history="1">
        <w:r>
          <w:rPr>
            <w:rStyle w:val="Hyperlink"/>
            <w:rFonts w:ascii="inherit" w:hAnsi="inherit"/>
            <w:color w:val="2875B8"/>
            <w:sz w:val="27"/>
            <w:szCs w:val="27"/>
            <w:bdr w:val="none" w:sz="0" w:space="0" w:color="auto" w:frame="1"/>
          </w:rPr>
          <w:t>§ 2.2-4003</w:t>
        </w:r>
      </w:hyperlink>
      <w:r>
        <w:rPr>
          <w:rFonts w:ascii="inherit" w:hAnsi="inherit"/>
          <w:color w:val="444444"/>
          <w:sz w:val="27"/>
          <w:szCs w:val="27"/>
        </w:rPr>
        <w:t xml:space="preserve"> Venue</w:t>
      </w:r>
    </w:p>
    <w:p w:rsidR="00586FD9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18" w:history="1">
        <w:r>
          <w:rPr>
            <w:rStyle w:val="Hyperlink"/>
            <w:rFonts w:ascii="inherit" w:hAnsi="inherit"/>
            <w:color w:val="2875B8"/>
            <w:sz w:val="27"/>
            <w:szCs w:val="27"/>
            <w:bdr w:val="none" w:sz="0" w:space="0" w:color="auto" w:frame="1"/>
          </w:rPr>
          <w:t>§ 2.2-4004</w:t>
        </w:r>
      </w:hyperlink>
      <w:r>
        <w:rPr>
          <w:rFonts w:ascii="inherit" w:hAnsi="inherit"/>
          <w:color w:val="444444"/>
          <w:sz w:val="27"/>
          <w:szCs w:val="27"/>
        </w:rPr>
        <w:t xml:space="preserve"> Severability</w:t>
      </w:r>
    </w:p>
    <w:p w:rsidR="00586FD9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19" w:history="1">
        <w:r>
          <w:rPr>
            <w:rStyle w:val="Hyperlink"/>
            <w:rFonts w:ascii="inherit" w:hAnsi="inherit"/>
            <w:color w:val="2875B8"/>
            <w:sz w:val="27"/>
            <w:szCs w:val="27"/>
            <w:bdr w:val="none" w:sz="0" w:space="0" w:color="auto" w:frame="1"/>
          </w:rPr>
          <w:t>§ 2.2-4005</w:t>
        </w:r>
      </w:hyperlink>
      <w:r>
        <w:rPr>
          <w:rFonts w:ascii="inherit" w:hAnsi="inherit"/>
          <w:color w:val="444444"/>
          <w:sz w:val="27"/>
          <w:szCs w:val="27"/>
        </w:rPr>
        <w:t xml:space="preserve"> Review of exemptions by Joint Legislative Audit and Review Commission; Joint Commission on Administrative Rules</w:t>
      </w:r>
    </w:p>
    <w:p w:rsidR="00586FD9" w:rsidRDefault="00586FD9" w:rsidP="00586FD9">
      <w:pPr>
        <w:textAlignment w:val="baseline"/>
        <w:rPr>
          <w:b/>
          <w:bCs/>
          <w:color w:val="444444"/>
          <w:sz w:val="27"/>
          <w:szCs w:val="27"/>
          <w:bdr w:val="none" w:sz="0" w:space="0" w:color="auto" w:frame="1"/>
        </w:rPr>
      </w:pPr>
    </w:p>
    <w:p w:rsidR="00586FD9" w:rsidRPr="00780208" w:rsidRDefault="00586FD9" w:rsidP="00586FD9">
      <w:pPr>
        <w:numPr>
          <w:ilvl w:val="0"/>
          <w:numId w:val="9"/>
        </w:numPr>
        <w:ind w:left="0"/>
        <w:textAlignment w:val="baseline"/>
        <w:rPr>
          <w:b/>
          <w:bCs/>
          <w:color w:val="444444"/>
          <w:sz w:val="27"/>
          <w:szCs w:val="27"/>
          <w:bdr w:val="none" w:sz="0" w:space="0" w:color="auto" w:frame="1"/>
        </w:rPr>
      </w:pPr>
      <w:r w:rsidRPr="00780208">
        <w:rPr>
          <w:b/>
          <w:bCs/>
          <w:color w:val="444444"/>
          <w:sz w:val="27"/>
          <w:szCs w:val="27"/>
          <w:bdr w:val="none" w:sz="0" w:space="0" w:color="auto" w:frame="1"/>
        </w:rPr>
        <w:t>Article 2. </w:t>
      </w:r>
    </w:p>
    <w:p w:rsidR="00586FD9" w:rsidRPr="00780208" w:rsidRDefault="00586FD9" w:rsidP="00586FD9">
      <w:pPr>
        <w:textAlignment w:val="baseline"/>
        <w:rPr>
          <w:b/>
          <w:bCs/>
          <w:color w:val="444444"/>
          <w:sz w:val="27"/>
          <w:szCs w:val="27"/>
          <w:bdr w:val="none" w:sz="0" w:space="0" w:color="auto" w:frame="1"/>
        </w:rPr>
      </w:pPr>
      <w:r w:rsidRPr="00780208">
        <w:rPr>
          <w:b/>
          <w:bCs/>
          <w:color w:val="444444"/>
          <w:sz w:val="27"/>
          <w:szCs w:val="27"/>
          <w:bdr w:val="none" w:sz="0" w:space="0" w:color="auto" w:frame="1"/>
        </w:rPr>
        <w:t>Regulations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20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2.2-4006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Exemptions from requirements of this article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21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2.2-4007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Petitions for new or amended regulations; opportunity for public comment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22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2.2-4007.01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Notice of intended regulatory action; public hearing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23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2.2-4007.02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Public participation guidelines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24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2.2-4007.03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Informational proceedings; effect of noncompliance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25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2.2-4007.04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Economic impact analysis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26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2.2-4007.04:01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Notice required of certain departments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27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2.2-4007.05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Submission of proposed regulations to the Registrar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28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2.2-4007.06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Changes between proposed and final regulations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29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2.2-4007.07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State Air Pollution Control Board; variances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30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2.2-4007.1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Regulatory flexibility for small businesses; periodic review of regulations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31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2.2-4007.2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Regulations requiring the submission of documents or payments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32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2.2-4008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Repealed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33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2.2-4009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proofErr w:type="gramStart"/>
      <w:r w:rsidRPr="00780208">
        <w:rPr>
          <w:rFonts w:ascii="inherit" w:hAnsi="inherit"/>
          <w:color w:val="444444"/>
          <w:sz w:val="27"/>
          <w:szCs w:val="27"/>
        </w:rPr>
        <w:t>Evidentiary</w:t>
      </w:r>
      <w:proofErr w:type="gramEnd"/>
      <w:r w:rsidRPr="00780208">
        <w:rPr>
          <w:rFonts w:ascii="inherit" w:hAnsi="inherit"/>
          <w:color w:val="444444"/>
          <w:sz w:val="27"/>
          <w:szCs w:val="27"/>
        </w:rPr>
        <w:t xml:space="preserve"> hearings on regulations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34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2.2-4010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Pilot programs for regulations imposing local government mandates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35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2.2-4011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Emergency regulations; publication; exceptions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36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2.2-4012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Purpose; adoption; effective date; filing; duties of Registrar of Regulations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37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2.2-4012.1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Fast-track rulemaking process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38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2.2-4013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Executive review of proposed and final regulations; changes with substantial impact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39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2.2-4014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Legislative review of proposed and final regulations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40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2.2-4015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Effective date of regulation; exception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41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2.2-4016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Withdrawal of regulation</w:t>
      </w:r>
    </w:p>
    <w:p w:rsidR="00586FD9" w:rsidRPr="00780208" w:rsidRDefault="00586FD9" w:rsidP="00586FD9">
      <w:pPr>
        <w:spacing w:line="372" w:lineRule="atLeast"/>
        <w:ind w:left="240"/>
        <w:textAlignment w:val="baseline"/>
        <w:rPr>
          <w:rFonts w:ascii="inherit" w:hAnsi="inherit"/>
          <w:color w:val="444444"/>
          <w:sz w:val="27"/>
          <w:szCs w:val="27"/>
        </w:rPr>
      </w:pPr>
      <w:hyperlink r:id="rId42" w:history="1">
        <w:r w:rsidRPr="00780208">
          <w:rPr>
            <w:rFonts w:ascii="inherit" w:hAnsi="inherit"/>
            <w:color w:val="2875B8"/>
            <w:sz w:val="27"/>
            <w:szCs w:val="27"/>
            <w:u w:val="single"/>
            <w:bdr w:val="none" w:sz="0" w:space="0" w:color="auto" w:frame="1"/>
          </w:rPr>
          <w:t>§ 2.2-4017</w:t>
        </w:r>
      </w:hyperlink>
      <w:r>
        <w:rPr>
          <w:rFonts w:ascii="inherit" w:hAnsi="inherit"/>
          <w:color w:val="444444"/>
          <w:sz w:val="27"/>
          <w:szCs w:val="27"/>
        </w:rPr>
        <w:t xml:space="preserve"> </w:t>
      </w:r>
      <w:r w:rsidRPr="00780208">
        <w:rPr>
          <w:rFonts w:ascii="inherit" w:hAnsi="inherit"/>
          <w:color w:val="444444"/>
          <w:sz w:val="27"/>
          <w:szCs w:val="27"/>
        </w:rPr>
        <w:t>Periodic review of regulations</w:t>
      </w:r>
    </w:p>
    <w:p w:rsidR="00586FD9" w:rsidRDefault="00586FD9" w:rsidP="00586FD9"/>
    <w:p w:rsidR="00586FD9" w:rsidRDefault="00586FD9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sectPr w:rsidR="00586FD9" w:rsidSect="004B5B0D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290" w:rsidRDefault="00350290">
      <w:r>
        <w:separator/>
      </w:r>
    </w:p>
  </w:endnote>
  <w:endnote w:type="continuationSeparator" w:id="0">
    <w:p w:rsidR="00350290" w:rsidRDefault="0035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35A" w:rsidRDefault="001E23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532"/>
      <w:gridCol w:w="2989"/>
      <w:gridCol w:w="2839"/>
    </w:tblGrid>
    <w:tr w:rsidR="00E8302F" w:rsidRPr="00874807" w:rsidTr="00E8302F">
      <w:tc>
        <w:tcPr>
          <w:tcW w:w="3532" w:type="dxa"/>
          <w:shd w:val="clear" w:color="auto" w:fill="auto"/>
        </w:tcPr>
        <w:p w:rsidR="00E8302F" w:rsidRDefault="00E8302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Thomas A. Lisk, Chair</w:t>
          </w:r>
        </w:p>
      </w:tc>
      <w:tc>
        <w:tcPr>
          <w:tcW w:w="2989" w:type="dxa"/>
          <w:shd w:val="clear" w:color="auto" w:fill="auto"/>
        </w:tcPr>
        <w:p w:rsidR="00E8302F" w:rsidRDefault="002F455E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Craig Maxey</w:t>
          </w:r>
          <w:r w:rsidR="00B507CF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2839" w:type="dxa"/>
          <w:shd w:val="clear" w:color="auto" w:fill="auto"/>
        </w:tcPr>
        <w:p w:rsidR="00E8302F" w:rsidRDefault="00B507C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Noah P. Sullivan</w:t>
          </w:r>
        </w:p>
      </w:tc>
    </w:tr>
    <w:tr w:rsidR="00E8302F" w:rsidRPr="00874807" w:rsidTr="00E8302F">
      <w:trPr>
        <w:trHeight w:val="244"/>
      </w:trPr>
      <w:tc>
        <w:tcPr>
          <w:tcW w:w="3532" w:type="dxa"/>
          <w:shd w:val="clear" w:color="auto" w:fill="auto"/>
        </w:tcPr>
        <w:p w:rsidR="00E8302F" w:rsidRDefault="00E8302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John Daniel</w:t>
          </w:r>
        </w:p>
        <w:p w:rsidR="00E8302F" w:rsidRDefault="00E8302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Michelle Gowdy</w:t>
          </w:r>
        </w:p>
      </w:tc>
      <w:tc>
        <w:tcPr>
          <w:tcW w:w="2989" w:type="dxa"/>
          <w:shd w:val="clear" w:color="auto" w:fill="auto"/>
        </w:tcPr>
        <w:p w:rsidR="002F455E" w:rsidRDefault="002F455E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Jeffrey S. Palmore </w:t>
          </w:r>
        </w:p>
        <w:p w:rsidR="00E8302F" w:rsidRDefault="002F455E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Mike Quinan </w:t>
          </w:r>
        </w:p>
      </w:tc>
      <w:tc>
        <w:tcPr>
          <w:tcW w:w="2839" w:type="dxa"/>
          <w:shd w:val="clear" w:color="auto" w:fill="auto"/>
        </w:tcPr>
        <w:p w:rsidR="00E8302F" w:rsidRDefault="00E8302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Holly Trice</w:t>
          </w:r>
        </w:p>
        <w:p w:rsidR="00E8302F" w:rsidRDefault="00E8302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Jennifer Williamson</w:t>
          </w:r>
        </w:p>
      </w:tc>
    </w:tr>
    <w:tr w:rsidR="00E8302F" w:rsidRPr="00874807" w:rsidTr="00E8302F">
      <w:trPr>
        <w:trHeight w:val="244"/>
      </w:trPr>
      <w:tc>
        <w:tcPr>
          <w:tcW w:w="3532" w:type="dxa"/>
          <w:shd w:val="clear" w:color="auto" w:fill="auto"/>
        </w:tcPr>
        <w:p w:rsidR="00E8302F" w:rsidRDefault="00E8302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Paul Kugelman</w:t>
          </w:r>
        </w:p>
      </w:tc>
      <w:tc>
        <w:tcPr>
          <w:tcW w:w="2989" w:type="dxa"/>
          <w:shd w:val="clear" w:color="auto" w:fill="auto"/>
        </w:tcPr>
        <w:p w:rsidR="00E8302F" w:rsidRDefault="002F455E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Brooks Smith</w:t>
          </w:r>
        </w:p>
      </w:tc>
      <w:tc>
        <w:tcPr>
          <w:tcW w:w="2839" w:type="dxa"/>
          <w:shd w:val="clear" w:color="auto" w:fill="auto"/>
        </w:tcPr>
        <w:p w:rsidR="00E8302F" w:rsidRDefault="00E8302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Kristi S. Wright</w:t>
          </w:r>
        </w:p>
      </w:tc>
    </w:tr>
    <w:tr w:rsidR="00D243E3" w:rsidRPr="00874807" w:rsidTr="00E8302F">
      <w:trPr>
        <w:trHeight w:val="389"/>
      </w:trPr>
      <w:tc>
        <w:tcPr>
          <w:tcW w:w="3532" w:type="dxa"/>
          <w:shd w:val="clear" w:color="auto" w:fill="auto"/>
        </w:tcPr>
        <w:p w:rsidR="00D243E3" w:rsidRPr="00874807" w:rsidRDefault="00D243E3" w:rsidP="003026DD">
          <w:pPr>
            <w:pStyle w:val="Footer"/>
            <w:tabs>
              <w:tab w:val="clear" w:pos="4320"/>
              <w:tab w:val="clear" w:pos="8640"/>
              <w:tab w:val="left" w:pos="1013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989" w:type="dxa"/>
          <w:shd w:val="clear" w:color="auto" w:fill="auto"/>
        </w:tcPr>
        <w:p w:rsidR="00D243E3" w:rsidRPr="00874807" w:rsidRDefault="00D243E3" w:rsidP="003026DD">
          <w:pPr>
            <w:pStyle w:val="Foo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39" w:type="dxa"/>
          <w:shd w:val="clear" w:color="auto" w:fill="auto"/>
        </w:tcPr>
        <w:p w:rsidR="00D243E3" w:rsidRPr="00874807" w:rsidRDefault="00D243E3" w:rsidP="003026DD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 </w:t>
          </w:r>
        </w:p>
      </w:tc>
    </w:tr>
  </w:tbl>
  <w:p w:rsidR="00187F2F" w:rsidRPr="00AF13A2" w:rsidRDefault="00187F2F" w:rsidP="00D243E3">
    <w:pPr>
      <w:pStyle w:val="Foo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35A" w:rsidRDefault="001E23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290" w:rsidRDefault="00350290">
      <w:r>
        <w:separator/>
      </w:r>
    </w:p>
  </w:footnote>
  <w:footnote w:type="continuationSeparator" w:id="0">
    <w:p w:rsidR="00350290" w:rsidRDefault="00350290">
      <w:r>
        <w:continuationSeparator/>
      </w:r>
    </w:p>
  </w:footnote>
  <w:footnote w:id="1">
    <w:p w:rsidR="00586FD9" w:rsidRDefault="00586FD9" w:rsidP="00586FD9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1" w:history="1">
        <w:r w:rsidRPr="00810F9D">
          <w:rPr>
            <w:rStyle w:val="Hyperlink"/>
            <w:rFonts w:ascii="Aptos" w:hAnsi="Aptos"/>
            <w:sz w:val="22"/>
            <w:szCs w:val="22"/>
          </w:rPr>
          <w:t>Melendez v. State Board of Health, Henrico CL17-1164 (2019).</w:t>
        </w:r>
      </w:hyperlink>
      <w:r>
        <w:rPr>
          <w:rFonts w:ascii="Aptos" w:hAnsi="Aptos"/>
          <w:sz w:val="22"/>
          <w:szCs w:val="22"/>
        </w:rPr>
        <w:t xml:space="preserve"> </w:t>
      </w:r>
    </w:p>
  </w:footnote>
  <w:footnote w:id="2">
    <w:p w:rsidR="00586FD9" w:rsidRDefault="00586FD9" w:rsidP="00586FD9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2" w:history="1">
        <w:r w:rsidRPr="00810F9D">
          <w:rPr>
            <w:rStyle w:val="Hyperlink"/>
          </w:rPr>
          <w:t>OAG certification memo</w:t>
        </w:r>
      </w:hyperlink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35A" w:rsidRDefault="001E23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35A" w:rsidRDefault="001E23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35A" w:rsidRDefault="001E23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15553"/>
    <w:multiLevelType w:val="hybridMultilevel"/>
    <w:tmpl w:val="2E9ED458"/>
    <w:lvl w:ilvl="0" w:tplc="2D7C33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A30F77"/>
    <w:multiLevelType w:val="hybridMultilevel"/>
    <w:tmpl w:val="E74E3792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852EB0"/>
    <w:multiLevelType w:val="hybridMultilevel"/>
    <w:tmpl w:val="A8D8E76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1677ED3"/>
    <w:multiLevelType w:val="hybridMultilevel"/>
    <w:tmpl w:val="7F2EA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16AB3"/>
    <w:multiLevelType w:val="hybridMultilevel"/>
    <w:tmpl w:val="B7E8AE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483263F3"/>
    <w:multiLevelType w:val="multilevel"/>
    <w:tmpl w:val="E1E47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F2B90"/>
    <w:multiLevelType w:val="hybridMultilevel"/>
    <w:tmpl w:val="38BAC89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130B3"/>
    <w:multiLevelType w:val="multilevel"/>
    <w:tmpl w:val="1A88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19295C"/>
    <w:multiLevelType w:val="multilevel"/>
    <w:tmpl w:val="E134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2D7DE4"/>
    <w:multiLevelType w:val="hybridMultilevel"/>
    <w:tmpl w:val="23E0C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D4"/>
    <w:rsid w:val="00001BB1"/>
    <w:rsid w:val="0000630A"/>
    <w:rsid w:val="000141BB"/>
    <w:rsid w:val="0004113E"/>
    <w:rsid w:val="000465AC"/>
    <w:rsid w:val="00067AFC"/>
    <w:rsid w:val="00070595"/>
    <w:rsid w:val="0007082C"/>
    <w:rsid w:val="000A32A6"/>
    <w:rsid w:val="000B19DA"/>
    <w:rsid w:val="000B61E1"/>
    <w:rsid w:val="000C6F57"/>
    <w:rsid w:val="000D09D6"/>
    <w:rsid w:val="000E30A2"/>
    <w:rsid w:val="000E67DC"/>
    <w:rsid w:val="000E7531"/>
    <w:rsid w:val="000E7E6A"/>
    <w:rsid w:val="000F5950"/>
    <w:rsid w:val="00106200"/>
    <w:rsid w:val="001115B4"/>
    <w:rsid w:val="00152C20"/>
    <w:rsid w:val="00160A88"/>
    <w:rsid w:val="00181C8D"/>
    <w:rsid w:val="00187F2F"/>
    <w:rsid w:val="0019601A"/>
    <w:rsid w:val="001E169D"/>
    <w:rsid w:val="001E235A"/>
    <w:rsid w:val="001E4AC5"/>
    <w:rsid w:val="001F3B46"/>
    <w:rsid w:val="001F7F08"/>
    <w:rsid w:val="00220990"/>
    <w:rsid w:val="00222ECE"/>
    <w:rsid w:val="00233765"/>
    <w:rsid w:val="00256998"/>
    <w:rsid w:val="00256A0E"/>
    <w:rsid w:val="0027491A"/>
    <w:rsid w:val="00281274"/>
    <w:rsid w:val="002A764E"/>
    <w:rsid w:val="002A7D33"/>
    <w:rsid w:val="002B06C9"/>
    <w:rsid w:val="002E4DEC"/>
    <w:rsid w:val="002F0D0D"/>
    <w:rsid w:val="002F3BB6"/>
    <w:rsid w:val="002F455E"/>
    <w:rsid w:val="003026DD"/>
    <w:rsid w:val="00304D45"/>
    <w:rsid w:val="00310016"/>
    <w:rsid w:val="003101DE"/>
    <w:rsid w:val="00350290"/>
    <w:rsid w:val="0036338B"/>
    <w:rsid w:val="00365853"/>
    <w:rsid w:val="0039258A"/>
    <w:rsid w:val="00392752"/>
    <w:rsid w:val="003A4DE1"/>
    <w:rsid w:val="003C1B1C"/>
    <w:rsid w:val="003E6044"/>
    <w:rsid w:val="003F528D"/>
    <w:rsid w:val="00401DA2"/>
    <w:rsid w:val="00405E16"/>
    <w:rsid w:val="00436995"/>
    <w:rsid w:val="00451FF4"/>
    <w:rsid w:val="00453E50"/>
    <w:rsid w:val="00456227"/>
    <w:rsid w:val="0045686B"/>
    <w:rsid w:val="004668E3"/>
    <w:rsid w:val="0048150A"/>
    <w:rsid w:val="00492FA6"/>
    <w:rsid w:val="004A6871"/>
    <w:rsid w:val="004B525F"/>
    <w:rsid w:val="004B5B0D"/>
    <w:rsid w:val="004E79E8"/>
    <w:rsid w:val="004F43C1"/>
    <w:rsid w:val="00502879"/>
    <w:rsid w:val="00533FF2"/>
    <w:rsid w:val="005866D4"/>
    <w:rsid w:val="00586FD9"/>
    <w:rsid w:val="005A2251"/>
    <w:rsid w:val="005A4D08"/>
    <w:rsid w:val="005D174F"/>
    <w:rsid w:val="005D1965"/>
    <w:rsid w:val="005D325C"/>
    <w:rsid w:val="00626EB2"/>
    <w:rsid w:val="00644AB5"/>
    <w:rsid w:val="00685D0F"/>
    <w:rsid w:val="006A2A64"/>
    <w:rsid w:val="006A4DE4"/>
    <w:rsid w:val="006C5B66"/>
    <w:rsid w:val="006F58BA"/>
    <w:rsid w:val="00752262"/>
    <w:rsid w:val="007702EC"/>
    <w:rsid w:val="007728C4"/>
    <w:rsid w:val="007B49C2"/>
    <w:rsid w:val="007B59AF"/>
    <w:rsid w:val="007B789A"/>
    <w:rsid w:val="007D01AF"/>
    <w:rsid w:val="007E56B0"/>
    <w:rsid w:val="00806ED5"/>
    <w:rsid w:val="00812969"/>
    <w:rsid w:val="008378B4"/>
    <w:rsid w:val="008663F7"/>
    <w:rsid w:val="008665B7"/>
    <w:rsid w:val="00871FAA"/>
    <w:rsid w:val="00874807"/>
    <w:rsid w:val="008803FA"/>
    <w:rsid w:val="008859CB"/>
    <w:rsid w:val="00885C24"/>
    <w:rsid w:val="008876DD"/>
    <w:rsid w:val="008919CB"/>
    <w:rsid w:val="00896B79"/>
    <w:rsid w:val="008C19D6"/>
    <w:rsid w:val="008C4257"/>
    <w:rsid w:val="008C4572"/>
    <w:rsid w:val="008E4F7A"/>
    <w:rsid w:val="008F4911"/>
    <w:rsid w:val="00910713"/>
    <w:rsid w:val="009163FE"/>
    <w:rsid w:val="0094000D"/>
    <w:rsid w:val="00947E3C"/>
    <w:rsid w:val="00955B17"/>
    <w:rsid w:val="0095777C"/>
    <w:rsid w:val="009B47A5"/>
    <w:rsid w:val="009D0482"/>
    <w:rsid w:val="009D5BF1"/>
    <w:rsid w:val="009E575D"/>
    <w:rsid w:val="009E6572"/>
    <w:rsid w:val="009F3FBB"/>
    <w:rsid w:val="00A10E17"/>
    <w:rsid w:val="00A41607"/>
    <w:rsid w:val="00A47454"/>
    <w:rsid w:val="00A51E7B"/>
    <w:rsid w:val="00A87B65"/>
    <w:rsid w:val="00A97667"/>
    <w:rsid w:val="00AA027D"/>
    <w:rsid w:val="00AA48F7"/>
    <w:rsid w:val="00AA49D3"/>
    <w:rsid w:val="00AB671C"/>
    <w:rsid w:val="00AC313C"/>
    <w:rsid w:val="00AD27A2"/>
    <w:rsid w:val="00AF13A2"/>
    <w:rsid w:val="00AF580C"/>
    <w:rsid w:val="00B01AAE"/>
    <w:rsid w:val="00B04B62"/>
    <w:rsid w:val="00B16772"/>
    <w:rsid w:val="00B37873"/>
    <w:rsid w:val="00B4130B"/>
    <w:rsid w:val="00B50575"/>
    <w:rsid w:val="00B507CF"/>
    <w:rsid w:val="00B64608"/>
    <w:rsid w:val="00B6484B"/>
    <w:rsid w:val="00B746DF"/>
    <w:rsid w:val="00B818FE"/>
    <w:rsid w:val="00BA0B87"/>
    <w:rsid w:val="00BB1719"/>
    <w:rsid w:val="00BC1477"/>
    <w:rsid w:val="00BD6D77"/>
    <w:rsid w:val="00C14266"/>
    <w:rsid w:val="00C55009"/>
    <w:rsid w:val="00C670C1"/>
    <w:rsid w:val="00C76496"/>
    <w:rsid w:val="00C92789"/>
    <w:rsid w:val="00CB5E23"/>
    <w:rsid w:val="00CB6A7B"/>
    <w:rsid w:val="00CC1F4A"/>
    <w:rsid w:val="00CC2815"/>
    <w:rsid w:val="00CD0616"/>
    <w:rsid w:val="00CD5CD3"/>
    <w:rsid w:val="00CE40F9"/>
    <w:rsid w:val="00CE552B"/>
    <w:rsid w:val="00CF0B3D"/>
    <w:rsid w:val="00CF2221"/>
    <w:rsid w:val="00CF67C0"/>
    <w:rsid w:val="00D04699"/>
    <w:rsid w:val="00D170CF"/>
    <w:rsid w:val="00D22BB0"/>
    <w:rsid w:val="00D243E3"/>
    <w:rsid w:val="00D46861"/>
    <w:rsid w:val="00DA2DFB"/>
    <w:rsid w:val="00DC2192"/>
    <w:rsid w:val="00DC2932"/>
    <w:rsid w:val="00DC29AC"/>
    <w:rsid w:val="00DC6531"/>
    <w:rsid w:val="00DC65CA"/>
    <w:rsid w:val="00DD08B4"/>
    <w:rsid w:val="00DF1BFC"/>
    <w:rsid w:val="00E01A21"/>
    <w:rsid w:val="00E0467E"/>
    <w:rsid w:val="00E207B8"/>
    <w:rsid w:val="00E373D1"/>
    <w:rsid w:val="00E410F0"/>
    <w:rsid w:val="00E65EB9"/>
    <w:rsid w:val="00E72073"/>
    <w:rsid w:val="00E72FD2"/>
    <w:rsid w:val="00E7493B"/>
    <w:rsid w:val="00E823EB"/>
    <w:rsid w:val="00E8302F"/>
    <w:rsid w:val="00EB06BC"/>
    <w:rsid w:val="00EC6B89"/>
    <w:rsid w:val="00EC7FF0"/>
    <w:rsid w:val="00EF1624"/>
    <w:rsid w:val="00EF487C"/>
    <w:rsid w:val="00EF7945"/>
    <w:rsid w:val="00F53782"/>
    <w:rsid w:val="00F66406"/>
    <w:rsid w:val="00FB20F5"/>
    <w:rsid w:val="00FB63DC"/>
    <w:rsid w:val="00FB67DB"/>
    <w:rsid w:val="00FE413C"/>
    <w:rsid w:val="00FE78AB"/>
    <w:rsid w:val="00FF36D5"/>
    <w:rsid w:val="00F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7521"/>
    <o:shapelayout v:ext="edit">
      <o:idmap v:ext="edit" data="1"/>
    </o:shapelayout>
  </w:shapeDefaults>
  <w:decimalSymbol w:val="."/>
  <w:listSeparator w:val=","/>
  <w14:docId w14:val="609E2A61"/>
  <w15:docId w15:val="{18C29FAB-0969-4283-8B83-DACA2255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6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866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046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F49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1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natureJobTitle">
    <w:name w:val="Signature Job Title"/>
    <w:basedOn w:val="Signature"/>
    <w:rsid w:val="00187F2F"/>
    <w:rPr>
      <w:sz w:val="24"/>
      <w:szCs w:val="24"/>
    </w:rPr>
  </w:style>
  <w:style w:type="paragraph" w:styleId="Signature">
    <w:name w:val="Signature"/>
    <w:basedOn w:val="Normal"/>
    <w:link w:val="SignatureChar"/>
    <w:rsid w:val="00187F2F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187F2F"/>
  </w:style>
  <w:style w:type="character" w:customStyle="1" w:styleId="apple-converted-space">
    <w:name w:val="apple-converted-space"/>
    <w:rsid w:val="008919CB"/>
  </w:style>
  <w:style w:type="paragraph" w:styleId="NormalWeb">
    <w:name w:val="Normal (Web)"/>
    <w:basedOn w:val="Normal"/>
    <w:uiPriority w:val="99"/>
    <w:unhideWhenUsed/>
    <w:rsid w:val="00D170CF"/>
    <w:pPr>
      <w:spacing w:before="100" w:beforeAutospacing="1" w:after="100" w:afterAutospacing="1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8302F"/>
  </w:style>
  <w:style w:type="paragraph" w:styleId="ListParagraph">
    <w:name w:val="List Paragraph"/>
    <w:basedOn w:val="Normal"/>
    <w:uiPriority w:val="34"/>
    <w:qFormat/>
    <w:rsid w:val="00586FD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6FD9"/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6FD9"/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586FD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86F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aw.lis.virginia.gov/vacode/title2.2/chapter40/section2.2-4001/" TargetMode="External"/><Relationship Id="rId18" Type="http://schemas.openxmlformats.org/officeDocument/2006/relationships/hyperlink" Target="https://law.lis.virginia.gov/vacode/title2.2/chapter40/section2.2-4004/" TargetMode="External"/><Relationship Id="rId26" Type="http://schemas.openxmlformats.org/officeDocument/2006/relationships/hyperlink" Target="https://law.lis.virginia.gov/vacode/title2.2/chapter40/section2.2-4007.04:01/" TargetMode="External"/><Relationship Id="rId39" Type="http://schemas.openxmlformats.org/officeDocument/2006/relationships/hyperlink" Target="https://law.lis.virginia.gov/vacode/title2.2/chapter40/section2.2-4014/" TargetMode="External"/><Relationship Id="rId3" Type="http://schemas.openxmlformats.org/officeDocument/2006/relationships/styles" Target="styles.xml"/><Relationship Id="rId21" Type="http://schemas.openxmlformats.org/officeDocument/2006/relationships/hyperlink" Target="https://law.lis.virginia.gov/vacode/title2.2/chapter40/section2.2-4007/" TargetMode="External"/><Relationship Id="rId34" Type="http://schemas.openxmlformats.org/officeDocument/2006/relationships/hyperlink" Target="https://law.lis.virginia.gov/vacode/title2.2/chapter40/section2.2-4010/" TargetMode="External"/><Relationship Id="rId42" Type="http://schemas.openxmlformats.org/officeDocument/2006/relationships/hyperlink" Target="https://law.lis.virginia.gov/vacode/title2.2/chapter40/section2.2-4017/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aw.lis.virginia.gov/vacode/title2.2/chapter40/section2.2-4000/" TargetMode="External"/><Relationship Id="rId17" Type="http://schemas.openxmlformats.org/officeDocument/2006/relationships/hyperlink" Target="https://law.lis.virginia.gov/vacode/title2.2/chapter40/section2.2-4003/" TargetMode="External"/><Relationship Id="rId25" Type="http://schemas.openxmlformats.org/officeDocument/2006/relationships/hyperlink" Target="https://law.lis.virginia.gov/vacode/title2.2/chapter40/section2.2-4007.04/" TargetMode="External"/><Relationship Id="rId33" Type="http://schemas.openxmlformats.org/officeDocument/2006/relationships/hyperlink" Target="https://law.lis.virginia.gov/vacode/title2.2/chapter40/section2.2-4009/" TargetMode="External"/><Relationship Id="rId38" Type="http://schemas.openxmlformats.org/officeDocument/2006/relationships/hyperlink" Target="https://law.lis.virginia.gov/vacode/title2.2/chapter40/section2.2-4013/" TargetMode="External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law.lis.virginia.gov/vacode/title2.2/chapter40/section2.2-4002.1/" TargetMode="External"/><Relationship Id="rId20" Type="http://schemas.openxmlformats.org/officeDocument/2006/relationships/hyperlink" Target="https://law.lis.virginia.gov/vacode/title2.2/chapter40/section2.2-4006/" TargetMode="External"/><Relationship Id="rId29" Type="http://schemas.openxmlformats.org/officeDocument/2006/relationships/hyperlink" Target="https://law.lis.virginia.gov/vacode/title2.2/chapter40/section2.2-4007.07/" TargetMode="External"/><Relationship Id="rId41" Type="http://schemas.openxmlformats.org/officeDocument/2006/relationships/hyperlink" Target="https://law.lis.virginia.gov/vacode/title2.2/chapter40/section2.2-4016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aw.lis.virginia.gov/vacode/title2.2/chapter43/section2.2-4310/" TargetMode="External"/><Relationship Id="rId24" Type="http://schemas.openxmlformats.org/officeDocument/2006/relationships/hyperlink" Target="https://law.lis.virginia.gov/vacode/title2.2/chapter40/section2.2-4007.03/" TargetMode="External"/><Relationship Id="rId32" Type="http://schemas.openxmlformats.org/officeDocument/2006/relationships/hyperlink" Target="https://law.lis.virginia.gov/vacode/title2.2/chapter40/section2.2-4008/" TargetMode="External"/><Relationship Id="rId37" Type="http://schemas.openxmlformats.org/officeDocument/2006/relationships/hyperlink" Target="https://law.lis.virginia.gov/vacode/title2.2/chapter40/section2.2-4012.1/" TargetMode="External"/><Relationship Id="rId40" Type="http://schemas.openxmlformats.org/officeDocument/2006/relationships/hyperlink" Target="https://law.lis.virginia.gov/vacode/title2.2/chapter40/section2.2-4015/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law.lis.virginia.gov/vacode/title2.2/chapter40/section2.2-4002/" TargetMode="External"/><Relationship Id="rId23" Type="http://schemas.openxmlformats.org/officeDocument/2006/relationships/hyperlink" Target="https://law.lis.virginia.gov/vacode/title2.2/chapter40/section2.2-4007.02/" TargetMode="External"/><Relationship Id="rId28" Type="http://schemas.openxmlformats.org/officeDocument/2006/relationships/hyperlink" Target="https://law.lis.virginia.gov/vacode/title2.2/chapter40/section2.2-4007.06/" TargetMode="External"/><Relationship Id="rId36" Type="http://schemas.openxmlformats.org/officeDocument/2006/relationships/hyperlink" Target="https://law.lis.virginia.gov/vacode/title2.2/chapter40/section2.2-4012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law.lis.virginia.gov/vacode/title2.2/chapter16.1/section2.2-1604/" TargetMode="External"/><Relationship Id="rId19" Type="http://schemas.openxmlformats.org/officeDocument/2006/relationships/hyperlink" Target="https://law.lis.virginia.gov/vacode/title2.2/chapter40/section2.2-4005/" TargetMode="External"/><Relationship Id="rId31" Type="http://schemas.openxmlformats.org/officeDocument/2006/relationships/hyperlink" Target="https://law.lis.virginia.gov/vacode/title2.2/chapter40/section2.2-4007.2/" TargetMode="Externa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aw.lis.virginia.gov/vacode/title2.2/chapter40/section2.2-4002/" TargetMode="External"/><Relationship Id="rId22" Type="http://schemas.openxmlformats.org/officeDocument/2006/relationships/hyperlink" Target="https://law.lis.virginia.gov/vacode/title2.2/chapter40/section2.2-4007.01/" TargetMode="External"/><Relationship Id="rId27" Type="http://schemas.openxmlformats.org/officeDocument/2006/relationships/hyperlink" Target="https://law.lis.virginia.gov/vacode/title2.2/chapter40/section2.2-4007.05/" TargetMode="External"/><Relationship Id="rId30" Type="http://schemas.openxmlformats.org/officeDocument/2006/relationships/hyperlink" Target="https://law.lis.virginia.gov/vacode/title2.2/chapter40/section2.2-4007.1/" TargetMode="External"/><Relationship Id="rId35" Type="http://schemas.openxmlformats.org/officeDocument/2006/relationships/hyperlink" Target="https://law.lis.virginia.gov/vacode/title2.2/chapter40/section2.2-4011/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townhall.virginia.gov/L/GetFile.cfm?File=93\6902\10988\AGmemo_DOE_10988_v1.pdf" TargetMode="External"/><Relationship Id="rId1" Type="http://schemas.openxmlformats.org/officeDocument/2006/relationships/hyperlink" Target="https://valawyersweekly.com/files/2019/03/019-8-01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E8DBA-5F0D-44D7-B8D8-ADAD77E73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826</Words>
  <Characters>7840</Characters>
  <Application>Microsoft Office Word</Application>
  <DocSecurity>0</DocSecurity>
  <Lines>65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VIRGINIA</vt:lpstr>
    </vt:vector>
  </TitlesOfParts>
  <Company>Commonwealth of Virginia</Company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VIRGINIA</dc:title>
  <dc:creator>Patrick Regan</dc:creator>
  <cp:lastModifiedBy>Andrew Kubincanek</cp:lastModifiedBy>
  <cp:revision>2</cp:revision>
  <cp:lastPrinted>2026-07-10T15:54:00Z</cp:lastPrinted>
  <dcterms:created xsi:type="dcterms:W3CDTF">2026-08-17T13:29:00Z</dcterms:created>
  <dcterms:modified xsi:type="dcterms:W3CDTF">2026-08-17T13:29:00Z</dcterms:modified>
</cp:coreProperties>
</file>